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BF" w:rsidRDefault="006534BF" w:rsidP="006534BF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4"/>
          <w:szCs w:val="44"/>
          <w:lang w:eastAsia="ru-RU"/>
        </w:rPr>
      </w:pPr>
      <w:r w:rsidRPr="006534BF">
        <w:rPr>
          <w:rFonts w:ascii="Conv_PFDINTEXTCONDPRO-MEDIUM" w:eastAsia="Times New Roman" w:hAnsi="Conv_PFDINTEXTCONDPRO-MEDIUM" w:cs="Arial"/>
          <w:color w:val="405965"/>
          <w:kern w:val="36"/>
          <w:sz w:val="44"/>
          <w:szCs w:val="44"/>
          <w:lang w:eastAsia="ru-RU"/>
        </w:rPr>
        <w:t xml:space="preserve">Как получить социальный налоговый вычет </w:t>
      </w:r>
    </w:p>
    <w:p w:rsidR="006534BF" w:rsidRPr="006534BF" w:rsidRDefault="006534BF" w:rsidP="006534BF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4"/>
          <w:szCs w:val="44"/>
          <w:lang w:eastAsia="ru-RU"/>
        </w:rPr>
      </w:pPr>
      <w:r w:rsidRPr="006534BF">
        <w:rPr>
          <w:rFonts w:ascii="Conv_PFDINTEXTCONDPRO-MEDIUM" w:eastAsia="Times New Roman" w:hAnsi="Conv_PFDINTEXTCONDPRO-MEDIUM" w:cs="Arial"/>
          <w:color w:val="405965"/>
          <w:kern w:val="36"/>
          <w:sz w:val="44"/>
          <w:szCs w:val="44"/>
          <w:lang w:eastAsia="ru-RU"/>
        </w:rPr>
        <w:t>в 2025 году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Социальные налоговые вычеты предоставляются физическим лицам, у которых имелись расходы на обучение, лечение, спорт, благотворительность, фитнес и иные затраты, предусмотренные </w:t>
      </w:r>
      <w:hyperlink r:id="rId5" w:history="1">
        <w:r w:rsidRPr="006534BF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ст. 219</w:t>
        </w:r>
      </w:hyperlink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Налогового кодекса Российской Федерации.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Социальные налоговые вычеты по НДФЛ можно получить у работодателя либо в налоговом органе по месту учета налогоплательщика.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Работодатель предоставляет социальный вычет в текущем году – в том, когда фактически работник заплатил за социальную услугу на основании уведомления из налоговой службы о подтверждении права работника на вычет и документов, подтверждающих расходы (договор на оказание услуги, акты, чеки, квитанции, справки об оплате).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Налоговый орган предоставляет вычет на </w:t>
      </w:r>
      <w:proofErr w:type="gramStart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основании</w:t>
      </w:r>
      <w:proofErr w:type="gramEnd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декларации по форме 3–НДФЛ по окончании года.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Налогоплательщик вправе представить в налоговый орган декларации не более чем за 3 </w:t>
      </w:r>
      <w:proofErr w:type="gramStart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предшествующих</w:t>
      </w:r>
      <w:proofErr w:type="gramEnd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периода. Так, в 2025 году заявить право на социальные налоговые вычеты можно за 2022, 2023 и 2024 годы.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 2024 году установлено новое предельное значение социального налогового вычета – не более 150 тыс. руб. (до 110 тыс. руб. – по расходам на обучение ребенка), которое применяется в отношении доходов, полученных начиная с 01.01.2024 г.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Таким образом, например по расходам на лечение, понесенным в 2023 оду и задекларированным в 2025 году, может быть предоставлен вычет в размере не более 120 тыс. руб.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дорогостоящее лечение размер вычета не ограничен. К расчету применяется вся сумма фактических расходов.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По расходам на обучение детей предельное значение применяется в отношении каждого ребенка. То есть, максимальный размер вычета по расходам на обучение двоих детей, если расходы на каждого из них в 2024 году составили 110 тыс. руб. и более - 220 тыс. руб. в совокупности на обоих родителей. Также начиная с 01.01.2024 социальный налоговый вычет можно заявить по расходам на очное обучение супруга (супруги).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Наиболее востребованные социальные налоговые вычеты по расходам, понесенным с 01.01.2024 на лечение, обучение, оплату </w:t>
      </w:r>
      <w:proofErr w:type="spellStart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физкультурно</w:t>
      </w:r>
      <w:proofErr w:type="spellEnd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–оздоровительных услуг, уплату страховых взносов по договорам добровольного медицинского страхования, добровольного пенсионного страхования и добровольного страхования жизни, а также по договорам негосударственного пенсионного обеспечения уже в 2025 году можно получить в упрощенном порядке (</w:t>
      </w:r>
      <w:hyperlink r:id="rId6" w:history="1">
        <w:r w:rsidRPr="006534BF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ст. 221.1 НК РФ</w:t>
        </w:r>
      </w:hyperlink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).</w:t>
      </w:r>
      <w:proofErr w:type="gramEnd"/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lastRenderedPageBreak/>
        <w:t>В этом случае справку об оплате услуг в налоговую службу передают в электронном виде организации и ИП, оказавшие услугу, при условии, что гражданин при получении платных услуг дал свое согласие на передачу данных в ФНС России.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В случае прохождения всех этапов контроля в личный кабинет налогоплательщика - физического лица направляется </w:t>
      </w:r>
      <w:proofErr w:type="spellStart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предзаполненное</w:t>
      </w:r>
      <w:proofErr w:type="spellEnd"/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заявление на вычет, сформированное не позднее 20 марта (по сведениям, представленным до 25 февраля) или в течение 20 дней после получения сведений, предоставленных после 25 февраля.</w:t>
      </w:r>
    </w:p>
    <w:p w:rsidR="006534BF" w:rsidRPr="006534BF" w:rsidRDefault="006534BF" w:rsidP="006534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6534BF" w:rsidRDefault="006534BF" w:rsidP="006534B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6534BF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Налогоплательщику необходимо только подписать заявление и проверить реквизиты банковского счета для получения денежных средств. В случае принятия положительного решения, средний срок для возврата денежных средств составляет шесть дней с момента акцептования заявления.</w:t>
      </w:r>
      <w:r w:rsidR="008E6C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</w:t>
      </w:r>
    </w:p>
    <w:p w:rsidR="008E6C19" w:rsidRDefault="008E6C19" w:rsidP="006534B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8E6C19" w:rsidRPr="006534BF" w:rsidRDefault="008E6C19" w:rsidP="006534B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Ссылка на публикацию - </w:t>
      </w:r>
      <w:r w:rsidRPr="008E6C1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https://www.nalog.gov.ru/rn37/news/activities_fts/15608494/</w:t>
      </w:r>
      <w:bookmarkStart w:id="0" w:name="_GoBack"/>
      <w:bookmarkEnd w:id="0"/>
    </w:p>
    <w:sectPr w:rsidR="008E6C19" w:rsidRPr="006534BF" w:rsidSect="00E130F3">
      <w:pgSz w:w="11905" w:h="16838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8F"/>
    <w:rsid w:val="000E097A"/>
    <w:rsid w:val="002F0919"/>
    <w:rsid w:val="00324415"/>
    <w:rsid w:val="006534BF"/>
    <w:rsid w:val="008E6C19"/>
    <w:rsid w:val="00980D8F"/>
    <w:rsid w:val="00E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44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3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9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3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1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3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8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5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7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0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2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165/52c9050787677b8d340f7131daf733a5a3d6f4db/" TargetMode="External"/><Relationship Id="rId5" Type="http://schemas.openxmlformats.org/officeDocument/2006/relationships/hyperlink" Target="https://www.consultant.ru/document/cons_doc_LAW_28165/946cbfc58c05e1392615a251973beb32dc79f94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Company>Krokoz™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Пресслужба Адмиистрации</dc:creator>
  <cp:keywords/>
  <dc:description/>
  <cp:lastModifiedBy>Пресслужба Адмиистрации</cp:lastModifiedBy>
  <cp:revision>4</cp:revision>
  <dcterms:created xsi:type="dcterms:W3CDTF">2025-02-06T06:58:00Z</dcterms:created>
  <dcterms:modified xsi:type="dcterms:W3CDTF">2025-02-06T07:02:00Z</dcterms:modified>
</cp:coreProperties>
</file>