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8"/>
        <w:jc w:val="both"/>
        <w:shd w:val="clear" w:color="ffffff" w:fill="ffffff"/>
        <w:rPr>
          <w:rFonts w:ascii="Liberation Serif" w:hAnsi="Liberation Serif" w:cs="Liberation Serif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  <w:t xml:space="preserve">Друзья, немного статистики!</w:t>
      </w:r>
      <w:r>
        <w:rPr>
          <w:rFonts w:ascii="Liberation Serif" w:hAnsi="Liberation Serif" w:eastAsia="Liberation Serif" w:cs="Liberation Serif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8"/>
        <w:jc w:val="both"/>
        <w:shd w:val="clear" w:color="ffffff" w:fill="ffffff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За второй квартал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2026 года активность жителей Ивановской области на рынке недвижимости по сравнению с предыдущим кварталом выросла.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15" w:right="15" w:firstLine="693"/>
        <w:jc w:val="both"/>
        <w:spacing w:before="0" w:after="0"/>
        <w:shd w:val="clear" w:color="ffffff" w:fill="ffffff"/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Во втором квартале в Управление от жителей региона поступило 44692 заявления на проведение учетно-регистрационных действий в отношении объектов недвижимости, что на 36 % больше, чем в первом квартале, из них 7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3 % поступило в электронном виде (32596).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</w:p>
    <w:p>
      <w:pPr>
        <w:ind w:left="15" w:right="15" w:firstLine="693"/>
        <w:jc w:val="both"/>
        <w:spacing w:before="0" w:after="0"/>
        <w:shd w:val="clear" w:color="ffffff" w:fill="ffffff"/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Э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г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ц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б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и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а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в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е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б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ь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ш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ю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п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п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у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л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я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р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о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с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т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ь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none"/>
        </w:rPr>
      </w:r>
      <w:r/>
    </w:p>
    <w:p>
      <w:pPr>
        <w:ind w:left="0" w:right="0" w:firstLine="708"/>
        <w:jc w:val="both"/>
        <w:shd w:val="clear" w:color="ffffff" w:fill="ffffff"/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Самой востребованной услугой ведомства по прежнему является государственная регистрация права.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</w:p>
    <w:p>
      <w:pPr>
        <w:ind w:left="0" w:right="0" w:firstLine="708"/>
        <w:jc w:val="both"/>
        <w:shd w:val="clear" w:color="ffffff" w:fill="ffffff"/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Во втором квартале наблюдается незначительное снижение 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оличества поступивших заявлений о государственной регистрации ипотеки при взаимодействии с кредит организациями (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на 1%) по сравнению с предыдущим кварталом. Их количество составило 670 шт. (из них 99 % поступили элек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тронно).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</w:p>
    <w:p>
      <w:pPr>
        <w:ind w:left="0" w:right="0" w:firstLine="708"/>
        <w:jc w:val="both"/>
        <w:shd w:val="clear" w:color="ffffff" w:fill="ffffff"/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Н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а регистрацию договоров долевого участия в строительстве поступило 420 заявок, что на 22 % больше чем в 1 квартале 2026 года. Все заявления направлены в электронном виде.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</w:p>
    <w:p>
      <w:pPr>
        <w:ind w:firstLine="708"/>
        <w:jc w:val="both"/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  <w:t xml:space="preserve">Средний срок, в течение которого принимались решения об осуществлении учетно-регистрационных действий по всем поступившим обращениям в Управлении составил 1,5 дня.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color w:val="000000"/>
          <w:sz w:val="28"/>
          <w:szCs w:val="28"/>
          <w:highlight w:val="whit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sudakova-lu</cp:lastModifiedBy>
  <cp:revision>1</cp:revision>
  <dcterms:modified xsi:type="dcterms:W3CDTF">2026-07-23T11:05:12Z</dcterms:modified>
</cp:coreProperties>
</file>