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ind w:left="0" w:right="0" w:firstLine="708"/>
        <w:jc w:val="center"/>
        <w:spacing w:before="168" w:after="0" w:line="288" w:lineRule="atLeast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Как приватизировать квартиру. Важные изменения в 2025 году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pStyle w:val="666"/>
        <w:ind w:left="0" w:right="0" w:firstLine="708"/>
        <w:jc w:val="both"/>
        <w:spacing w:before="168" w:after="0" w:line="288" w:lineRule="atLeast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pStyle w:val="666"/>
        <w:ind w:left="0" w:right="0" w:firstLine="708"/>
        <w:jc w:val="both"/>
        <w:spacing w:before="0" w:beforeAutospacing="0" w:after="0" w:line="288" w:lineRule="atLeast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Каждый россиянин имеет право раз в жизни приватизировать жилплощадь, принадлежащую государству или муниципалитету, которую он занимает по договору социального найма.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666"/>
        <w:ind w:left="0" w:right="0" w:firstLine="0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pacing w:val="1"/>
          <w:sz w:val="28"/>
          <w:szCs w:val="28"/>
        </w:rPr>
        <w:t xml:space="preserve">Жилье, которое можно приватизировать: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27"/>
        <w:numPr>
          <w:ilvl w:val="0"/>
          <w:numId w:val="3"/>
        </w:numPr>
        <w:contextualSpacing/>
        <w:ind w:left="709" w:right="0" w:hanging="360"/>
        <w:jc w:val="both"/>
        <w:spacing w:before="0" w:beforeAutospacing="0" w:after="20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квартиры, предоставленные по договору социального найма;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27"/>
        <w:numPr>
          <w:ilvl w:val="0"/>
          <w:numId w:val="3"/>
        </w:numPr>
        <w:contextualSpacing/>
        <w:ind w:left="709" w:right="0" w:hanging="360"/>
        <w:jc w:val="both"/>
        <w:spacing w:before="0" w:beforeAutospacing="0" w:after="20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комнаты в коммунальных квартирах, если они выделены как отдельное жилое помещение;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27"/>
        <w:numPr>
          <w:ilvl w:val="0"/>
          <w:numId w:val="3"/>
        </w:numPr>
        <w:contextualSpacing/>
        <w:ind w:left="709" w:right="0" w:hanging="360"/>
        <w:jc w:val="both"/>
        <w:spacing w:before="0" w:beforeAutospacing="0" w:after="20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жилые дома, находящиеся в государственной или муниципальной собственности, если они используются для постоянного проживания.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66"/>
        <w:ind w:left="0" w:right="0" w:firstLine="0"/>
        <w:jc w:val="both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pacing w:val="1"/>
          <w:sz w:val="28"/>
          <w:szCs w:val="28"/>
        </w:rPr>
        <w:t xml:space="preserve">Жилье, которое нельзя приватизировать: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27"/>
        <w:numPr>
          <w:ilvl w:val="0"/>
          <w:numId w:val="4"/>
        </w:numPr>
        <w:contextualSpacing/>
        <w:ind w:left="709" w:right="0" w:hanging="360"/>
        <w:jc w:val="both"/>
        <w:spacing w:before="0" w:beforeAutospacing="0" w:after="20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служебные квартиры — такие помещения предоставляются на время выполнения трудовых обязанностей и не подлежат приватизации;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27"/>
        <w:numPr>
          <w:ilvl w:val="0"/>
          <w:numId w:val="4"/>
        </w:numPr>
        <w:contextualSpacing/>
        <w:ind w:left="709" w:right="0" w:hanging="360"/>
        <w:jc w:val="both"/>
        <w:spacing w:before="0" w:beforeAutospacing="0" w:after="20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жилье </w:t>
      </w:r>
      <w:hyperlink r:id="rId9" w:tooltip="https://dom.mail.ru/articles/85257-avariynoye-zhilye/" w:history="1">
        <w:r>
          <w:rPr>
            <w:rStyle w:val="692"/>
            <w:rFonts w:ascii="Liberation Serif" w:hAnsi="Liberation Serif" w:eastAsia="Liberation Serif" w:cs="Liberation Serif"/>
            <w:color w:val="000000"/>
            <w:spacing w:val="1"/>
            <w:sz w:val="28"/>
            <w:szCs w:val="28"/>
            <w:u w:val="none"/>
          </w:rPr>
          <w:t xml:space="preserve">в аварийных домах</w:t>
        </w:r>
      </w:hyperlink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 — если дом признан непригодным для проживания, приватизация невозможна;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27"/>
        <w:numPr>
          <w:ilvl w:val="0"/>
          <w:numId w:val="4"/>
        </w:numPr>
        <w:contextualSpacing/>
        <w:ind w:left="709" w:right="0" w:hanging="360"/>
        <w:jc w:val="both"/>
        <w:spacing w:before="0" w:beforeAutospacing="0" w:after="20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квартиры в военных городках (закрытых административно-территориальных образованиях) — их статус регулируется специальными законами;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27"/>
        <w:numPr>
          <w:ilvl w:val="0"/>
          <w:numId w:val="4"/>
        </w:numPr>
        <w:contextualSpacing/>
        <w:ind w:left="709" w:right="0" w:hanging="360"/>
        <w:jc w:val="both"/>
        <w:spacing w:before="0" w:beforeAutospacing="0" w:after="200" w:line="240" w:lineRule="auto"/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жилье в общежитиях — эти помещения предназначены для временного проживания и не могут быть приватизированы.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20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br/>
        <w:tab/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Участвовать в приватизации жилья может каждый гражданин, зарегистрированный в нем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66"/>
        <w:ind w:left="0" w:right="0" w:firstLine="708"/>
        <w:jc w:val="both"/>
        <w:spacing w:before="0" w:beforeAutospacing="0" w:after="0" w:line="288" w:lineRule="atLeast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Важно, что у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частие несовершеннолетних не исчерпывает их право на приватизацию и, достигнув совершеннолетия, такой гражданин может приватизировать другое помещение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666"/>
        <w:ind w:left="0" w:right="0" w:firstLine="708"/>
        <w:jc w:val="both"/>
        <w:spacing w:before="0" w:beforeAutospacing="0" w:after="0" w:line="288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Обращаем внимание, что гражданин, отказавшийся от участия в приватизации квартиры, сохраняет бессрочное право пользования этим жилым помещением, в том числе если он перестал быть членом семьи собственника жилого помещения.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66"/>
        <w:ind w:left="0" w:right="0" w:firstLine="708"/>
        <w:jc w:val="both"/>
        <w:spacing w:before="0" w:beforeAutospacing="0" w:after="0" w:line="288" w:lineRule="atLeast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По общему правилу при переходе права собственности на квартиру к другому лицу право пользования квартирой таких лиц также сохраняется.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pStyle w:val="666"/>
        <w:ind w:left="0" w:right="0" w:firstLine="708"/>
        <w:jc w:val="both"/>
        <w:spacing w:before="0" w:beforeAutospacing="0" w:after="0" w:line="288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66"/>
        <w:ind w:left="0" w:right="0" w:firstLine="540"/>
        <w:jc w:val="both"/>
        <w:spacing w:before="0" w:beforeAutospacing="0" w:after="0" w:line="288" w:lineRule="atLeast"/>
        <w:rPr>
          <w:rFonts w:ascii="Liberation Serif" w:hAnsi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«С 01.09.2025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Единый государственный реестр недвижимости будут вноситься сведения о членах семьи (бывших членах семьи) собственника квартиры, имеющих право на участие в приватизации, но отказавшихся от нее.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pStyle w:val="666"/>
        <w:numPr>
          <w:ilvl w:val="0"/>
          <w:numId w:val="0"/>
        </w:numPr>
        <w:ind w:firstLine="709"/>
        <w:jc w:val="both"/>
        <w:spacing w:before="0" w:beforeAutospacing="0" w:after="200"/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Изменения направлены на обеспечение максимальной прозрачности информации о правах всех третьих лиц на такое жилое помещение, защиту как самих проживающих лиц, так и покупателей таких жилых помещений», –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</w:rPr>
        <w:t xml:space="preserve">сообщила Ольга Кашина, начальник отдела правового обеспечения Управления Росреестра по Ивановской области.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66"/>
        <w:ind w:left="0" w:right="0" w:firstLine="708"/>
        <w:jc w:val="both"/>
        <w:spacing w:before="0" w:beforeAutospacing="0" w:after="0" w:line="288" w:lineRule="atLeast"/>
        <w:rPr>
          <w:color w:val="000000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Документы, необходимые для начала процедуры приватизации:</w:t>
      </w:r>
      <w:r>
        <w:rPr>
          <w:color w:val="000000"/>
        </w:rPr>
      </w:r>
      <w:r>
        <w:rPr>
          <w:color w:val="000000"/>
        </w:rPr>
      </w:r>
    </w:p>
    <w:p>
      <w:pPr>
        <w:pStyle w:val="727"/>
        <w:numPr>
          <w:ilvl w:val="0"/>
          <w:numId w:val="2"/>
        </w:numPr>
        <w:contextualSpacing/>
        <w:ind w:left="283" w:right="0" w:firstLine="0"/>
        <w:jc w:val="both"/>
        <w:spacing w:before="0" w:beforeAutospacing="0" w:after="0" w:line="288" w:lineRule="atLeast"/>
        <w:rPr>
          <w:color w:val="c9211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Технический паспорт на квартиру;</w:t>
      </w:r>
      <w:r>
        <w:rPr>
          <w:color w:val="c9211e"/>
        </w:rPr>
      </w:r>
      <w:r>
        <w:rPr>
          <w:color w:val="c9211e"/>
        </w:rPr>
      </w:r>
    </w:p>
    <w:p>
      <w:pPr>
        <w:pStyle w:val="727"/>
        <w:numPr>
          <w:ilvl w:val="0"/>
          <w:numId w:val="1"/>
        </w:numPr>
        <w:contextualSpacing/>
        <w:ind w:left="709" w:right="0" w:hanging="360"/>
        <w:spacing w:before="0" w:beforeAutospacing="0" w:after="200"/>
        <w:rPr>
          <w:color w:val="000000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Паспорт самого заявителя и паспорта всех членов его семьи, достигших 14 лет;</w:t>
      </w:r>
      <w:r>
        <w:rPr>
          <w:color w:val="000000"/>
        </w:rPr>
      </w:r>
      <w:r>
        <w:rPr>
          <w:color w:val="000000"/>
        </w:rPr>
      </w:r>
    </w:p>
    <w:p>
      <w:pPr>
        <w:pStyle w:val="727"/>
        <w:numPr>
          <w:ilvl w:val="0"/>
          <w:numId w:val="1"/>
        </w:numPr>
        <w:contextualSpacing/>
        <w:ind w:left="709" w:right="0" w:hanging="360"/>
        <w:spacing w:before="0" w:beforeAutospacing="0" w:after="200"/>
        <w:rPr>
          <w:color w:val="000000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Выписка или ордер;</w:t>
      </w:r>
      <w:r>
        <w:rPr>
          <w:color w:val="000000"/>
        </w:rPr>
      </w:r>
      <w:r>
        <w:rPr>
          <w:color w:val="000000"/>
        </w:rPr>
      </w:r>
    </w:p>
    <w:p>
      <w:pPr>
        <w:pStyle w:val="727"/>
        <w:numPr>
          <w:ilvl w:val="0"/>
          <w:numId w:val="1"/>
        </w:numPr>
        <w:contextualSpacing/>
        <w:ind w:left="709" w:right="0" w:hanging="360"/>
        <w:spacing w:before="0" w:beforeAutospacing="0" w:after="200"/>
        <w:rPr>
          <w:color w:val="000000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Договор социального найма;</w:t>
      </w:r>
      <w:r>
        <w:rPr>
          <w:color w:val="000000"/>
        </w:rPr>
      </w:r>
      <w:r>
        <w:rPr>
          <w:color w:val="000000"/>
        </w:rPr>
      </w:r>
    </w:p>
    <w:p>
      <w:pPr>
        <w:pStyle w:val="727"/>
        <w:numPr>
          <w:ilvl w:val="0"/>
          <w:numId w:val="1"/>
        </w:numPr>
        <w:contextualSpacing/>
        <w:ind w:left="709" w:right="0" w:hanging="360"/>
        <w:spacing w:before="0" w:beforeAutospacing="0" w:after="200"/>
        <w:rPr>
          <w:color w:val="000000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Выписка из домовой книги либо документ - аналог выписки;</w:t>
      </w:r>
      <w:r>
        <w:rPr>
          <w:color w:val="000000"/>
        </w:rPr>
      </w:r>
      <w:r>
        <w:rPr>
          <w:color w:val="000000"/>
        </w:rPr>
      </w:r>
    </w:p>
    <w:p>
      <w:pPr>
        <w:pStyle w:val="727"/>
        <w:numPr>
          <w:ilvl w:val="0"/>
          <w:numId w:val="1"/>
        </w:numPr>
        <w:contextualSpacing/>
        <w:ind w:left="709" w:right="0" w:hanging="360"/>
        <w:spacing w:before="0" w:beforeAutospacing="0" w:after="200"/>
        <w:rPr>
          <w:color w:val="000000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Документ о неиспользовании своего права на приватизацию, который можно заказать в филиале ППК «Роскадастр» по Ивановской области;</w:t>
      </w:r>
      <w:r>
        <w:rPr>
          <w:color w:val="000000"/>
        </w:rPr>
      </w:r>
      <w:r>
        <w:rPr>
          <w:color w:val="000000"/>
        </w:rPr>
      </w:r>
    </w:p>
    <w:p>
      <w:pPr>
        <w:pStyle w:val="727"/>
        <w:numPr>
          <w:ilvl w:val="0"/>
          <w:numId w:val="1"/>
        </w:numPr>
        <w:contextualSpacing/>
        <w:ind w:left="709" w:right="0" w:hanging="360"/>
        <w:spacing w:before="0" w:beforeAutospacing="0" w:after="200"/>
        <w:rPr>
          <w:color w:val="000000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Заявление на приватизацию;</w:t>
      </w:r>
      <w:r>
        <w:rPr>
          <w:color w:val="000000"/>
        </w:rPr>
      </w:r>
      <w:r>
        <w:rPr>
          <w:color w:val="000000"/>
        </w:rPr>
      </w:r>
    </w:p>
    <w:p>
      <w:pPr>
        <w:pStyle w:val="727"/>
        <w:numPr>
          <w:ilvl w:val="0"/>
          <w:numId w:val="1"/>
        </w:numPr>
        <w:contextualSpacing/>
        <w:ind w:left="709" w:right="0" w:hanging="360"/>
        <w:spacing w:before="0" w:beforeAutospacing="0" w:after="200"/>
        <w:rPr>
          <w:color w:val="000000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Отказ от приватизации всех зарегистрированных в объекте недвижимости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color w:val="000000"/>
        </w:rPr>
      </w:r>
      <w:r>
        <w:rPr>
          <w:rFonts w:ascii="Liberation Serif" w:hAnsi="Liberation Serif" w:eastAsia="Liberation Serif" w:cs="Liberation Serif"/>
          <w:color w:val="auto"/>
          <w:sz w:val="28"/>
          <w:szCs w:val="28"/>
        </w:rPr>
      </w:r>
      <w:r>
        <w:rPr>
          <w:color w:val="c9211e"/>
        </w:rPr>
      </w:r>
      <w:r>
        <w:rPr>
          <w:color w:val="c9211e"/>
        </w:rPr>
      </w:r>
      <w:r>
        <w:rPr>
          <w:color w:val="000000"/>
        </w:rPr>
      </w:r>
    </w:p>
    <w:p>
      <w:pPr>
        <w:pStyle w:val="666"/>
        <w:contextualSpacing/>
        <w:ind w:left="0" w:right="0" w:firstLine="708"/>
        <w:jc w:val="both"/>
        <w:spacing w:before="0" w:beforeAutospacing="0" w:after="283" w:afterAutospacing="0" w:line="283" w:lineRule="atLeast"/>
        <w:tabs>
          <w:tab w:val="clear" w:pos="708" w:leader="none"/>
          <w:tab w:val="left" w:pos="851" w:leader="none"/>
        </w:tabs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На территории Ивановской области экспертизой пакета документов на приватизацию уполномочен заниматься филиал П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ПК «Роскадастр» по Ивановской области, который проверит документы, подпишет с заявителями проект договора на приватизацию и направит документы в орган местного самоуправления, уполномоченный принимать решение. Решение принимается в срок не более 2 месяцев.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666"/>
        <w:contextualSpacing/>
        <w:ind w:left="0" w:right="0" w:firstLine="708"/>
        <w:jc w:val="both"/>
        <w:spacing w:before="0" w:beforeAutospacing="0" w:after="283" w:afterAutospacing="0" w:line="283" w:lineRule="atLeast"/>
        <w:tabs>
          <w:tab w:val="clear" w:pos="708" w:leader="none"/>
          <w:tab w:val="left" w:pos="851" w:leader="none"/>
        </w:tabs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Если решение положительн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ое, Администрация самостоятельно подаст документы на государственную регистрацию права собственности заявителей в регистрирующий орган и по окончании регистрации, гражданам выдадут договор на приватизацию и выписку из Единого государственного реестра прав.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p>
      <w:pPr>
        <w:pStyle w:val="666"/>
        <w:contextualSpacing/>
        <w:ind w:left="0" w:right="0" w:firstLine="708"/>
        <w:jc w:val="both"/>
        <w:spacing w:before="0" w:beforeAutospacing="0" w:after="283" w:afterAutospacing="0" w:line="283" w:lineRule="atLeast"/>
        <w:tabs>
          <w:tab w:val="clear" w:pos="708" w:leader="none"/>
          <w:tab w:val="left" w:pos="851" w:leader="none"/>
        </w:tabs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«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Приватизация дает гражданам права владения, пользования и распоряжения своим имуществом. Указанные права могут быть реализованы путем продажи, обмена, дарения, ренты, залога, передачи по наследству, а также предоставл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ения жилого помещения в аренду. Но на граждан также возлагается бремя содержания своего имущества, а также бремя содержания общего имущества в многоквартирном доме. Кроме того, собственник жилого помещения обязан уплачивать налог на имущество», – сообщила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</w:rPr>
        <w:t xml:space="preserve">Наталья Мелешенко , председатель комитета по управлению муниципальным имуществом Администрации Приволжского муниципального района.</w:t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66"/>
        <w:ind w:left="0" w:right="0" w:firstLine="0"/>
        <w:jc w:val="both"/>
        <w:spacing w:before="168" w:after="0" w:line="288" w:lineRule="atLeast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67">
    <w:name w:val="Heading 1"/>
    <w:basedOn w:val="666"/>
    <w:next w:val="666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next w:val="666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next w:val="666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next w:val="666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next w:val="666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666"/>
    <w:next w:val="66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666"/>
    <w:next w:val="666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666"/>
    <w:next w:val="66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666"/>
    <w:next w:val="666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7">
    <w:name w:val="Heading 2 Char"/>
    <w:uiPriority w:val="9"/>
    <w:qFormat/>
    <w:rPr>
      <w:rFonts w:ascii="Arial" w:hAnsi="Arial" w:eastAsia="Arial" w:cs="Arial"/>
      <w:sz w:val="34"/>
    </w:rPr>
  </w:style>
  <w:style w:type="character" w:styleId="678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9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uiPriority w:val="10"/>
    <w:qFormat/>
    <w:rPr>
      <w:sz w:val="48"/>
      <w:szCs w:val="48"/>
    </w:rPr>
  </w:style>
  <w:style w:type="character" w:styleId="686">
    <w:name w:val="Subtitle Char"/>
    <w:uiPriority w:val="11"/>
    <w:qFormat/>
    <w:rPr>
      <w:sz w:val="24"/>
      <w:szCs w:val="24"/>
    </w:rPr>
  </w:style>
  <w:style w:type="character" w:styleId="687">
    <w:name w:val="Quote Char"/>
    <w:link w:val="707"/>
    <w:uiPriority w:val="29"/>
    <w:qFormat/>
    <w:rPr>
      <w:i/>
    </w:rPr>
  </w:style>
  <w:style w:type="character" w:styleId="688">
    <w:name w:val="Intense Quote Char"/>
    <w:link w:val="708"/>
    <w:uiPriority w:val="30"/>
    <w:qFormat/>
    <w:rPr>
      <w:i/>
    </w:rPr>
  </w:style>
  <w:style w:type="character" w:styleId="689">
    <w:name w:val="Header Char"/>
    <w:uiPriority w:val="99"/>
    <w:qFormat/>
  </w:style>
  <w:style w:type="character" w:styleId="690">
    <w:name w:val="Footer Char"/>
    <w:uiPriority w:val="99"/>
    <w:qFormat/>
  </w:style>
  <w:style w:type="character" w:styleId="691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92">
    <w:name w:val="Hyperlink"/>
    <w:uiPriority w:val="99"/>
    <w:unhideWhenUsed/>
    <w:rPr>
      <w:color w:val="0000ff" w:themeColor="hyperlink"/>
      <w:u w:val="single"/>
    </w:rPr>
  </w:style>
  <w:style w:type="character" w:styleId="693">
    <w:name w:val="Footnote Text Char"/>
    <w:uiPriority w:val="99"/>
    <w:qFormat/>
    <w:rPr>
      <w:sz w:val="18"/>
    </w:rPr>
  </w:style>
  <w:style w:type="character" w:styleId="694">
    <w:name w:val="Символ сноски"/>
    <w:uiPriority w:val="99"/>
    <w:unhideWhenUsed/>
    <w:qFormat/>
    <w:rPr>
      <w:vertAlign w:val="superscript"/>
    </w:rPr>
  </w:style>
  <w:style w:type="character" w:styleId="695">
    <w:name w:val="footnote reference"/>
    <w:rPr>
      <w:vertAlign w:val="superscript"/>
    </w:rPr>
  </w:style>
  <w:style w:type="character" w:styleId="696">
    <w:name w:val="Endnote Text Char"/>
    <w:uiPriority w:val="99"/>
    <w:qFormat/>
    <w:rPr>
      <w:sz w:val="20"/>
    </w:rPr>
  </w:style>
  <w:style w:type="character" w:styleId="69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8">
    <w:name w:val="endnote reference"/>
    <w:rPr>
      <w:vertAlign w:val="superscript"/>
    </w:rPr>
  </w:style>
  <w:style w:type="character" w:styleId="699" w:default="1">
    <w:name w:val="Default Paragraph Font"/>
    <w:uiPriority w:val="1"/>
    <w:semiHidden/>
    <w:unhideWhenUsed/>
    <w:qFormat/>
  </w:style>
  <w:style w:type="paragraph" w:styleId="700">
    <w:name w:val="Заголовок"/>
    <w:basedOn w:val="666"/>
    <w:next w:val="70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01">
    <w:name w:val="Body Text"/>
    <w:basedOn w:val="666"/>
    <w:pPr>
      <w:spacing w:before="0" w:after="140" w:line="276" w:lineRule="auto"/>
    </w:pPr>
  </w:style>
  <w:style w:type="paragraph" w:styleId="702">
    <w:name w:val="List"/>
    <w:basedOn w:val="701"/>
    <w:rPr>
      <w:rFonts w:ascii="PT Astra Serif" w:hAnsi="PT Astra Serif" w:cs="Noto Sans Devanagari"/>
    </w:rPr>
  </w:style>
  <w:style w:type="paragraph" w:styleId="703">
    <w:name w:val="Caption"/>
    <w:basedOn w:val="666"/>
    <w:next w:val="66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4">
    <w:name w:val="Указатель"/>
    <w:basedOn w:val="666"/>
    <w:qFormat/>
    <w:pPr>
      <w:suppressLineNumbers/>
    </w:pPr>
    <w:rPr>
      <w:rFonts w:ascii="PT Astra Serif" w:hAnsi="PT Astra Serif" w:cs="Noto Sans Devanagari"/>
    </w:rPr>
  </w:style>
  <w:style w:type="paragraph" w:styleId="705">
    <w:name w:val="Title"/>
    <w:basedOn w:val="666"/>
    <w:next w:val="66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6">
    <w:name w:val="Subtitle"/>
    <w:basedOn w:val="666"/>
    <w:next w:val="666"/>
    <w:link w:val="686"/>
    <w:uiPriority w:val="11"/>
    <w:qFormat/>
    <w:pPr>
      <w:spacing w:before="200" w:after="200"/>
    </w:pPr>
    <w:rPr>
      <w:sz w:val="24"/>
      <w:szCs w:val="24"/>
    </w:rPr>
  </w:style>
  <w:style w:type="paragraph" w:styleId="707">
    <w:name w:val="Quote"/>
    <w:basedOn w:val="666"/>
    <w:next w:val="666"/>
    <w:link w:val="687"/>
    <w:uiPriority w:val="29"/>
    <w:qFormat/>
    <w:pPr>
      <w:ind w:left="720" w:right="720" w:firstLine="0"/>
    </w:pPr>
    <w:rPr>
      <w:i/>
    </w:rPr>
  </w:style>
  <w:style w:type="paragraph" w:styleId="708">
    <w:name w:val="Intense Quote"/>
    <w:basedOn w:val="666"/>
    <w:next w:val="666"/>
    <w:link w:val="688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9">
    <w:name w:val="Колонтитул"/>
    <w:basedOn w:val="666"/>
    <w:qFormat/>
  </w:style>
  <w:style w:type="paragraph" w:styleId="710">
    <w:name w:val="Header"/>
    <w:basedOn w:val="666"/>
    <w:link w:val="689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1">
    <w:name w:val="Footer"/>
    <w:basedOn w:val="666"/>
    <w:link w:val="69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2">
    <w:name w:val="footnote text"/>
    <w:basedOn w:val="666"/>
    <w:link w:val="69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3">
    <w:name w:val="endnote text"/>
    <w:basedOn w:val="666"/>
    <w:link w:val="69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4">
    <w:name w:val="toc 1"/>
    <w:basedOn w:val="666"/>
    <w:next w:val="666"/>
    <w:uiPriority w:val="39"/>
    <w:unhideWhenUsed/>
    <w:pPr>
      <w:ind w:left="0" w:right="0" w:firstLine="0"/>
      <w:spacing w:before="0" w:after="57"/>
    </w:pPr>
  </w:style>
  <w:style w:type="paragraph" w:styleId="715">
    <w:name w:val="toc 2"/>
    <w:basedOn w:val="666"/>
    <w:next w:val="666"/>
    <w:uiPriority w:val="39"/>
    <w:unhideWhenUsed/>
    <w:pPr>
      <w:ind w:left="283" w:right="0" w:firstLine="0"/>
      <w:spacing w:before="0" w:after="57"/>
    </w:pPr>
  </w:style>
  <w:style w:type="paragraph" w:styleId="716">
    <w:name w:val="toc 3"/>
    <w:basedOn w:val="666"/>
    <w:next w:val="666"/>
    <w:uiPriority w:val="39"/>
    <w:unhideWhenUsed/>
    <w:pPr>
      <w:ind w:left="567" w:right="0" w:firstLine="0"/>
      <w:spacing w:before="0" w:after="57"/>
    </w:pPr>
  </w:style>
  <w:style w:type="paragraph" w:styleId="717">
    <w:name w:val="toc 4"/>
    <w:basedOn w:val="666"/>
    <w:next w:val="666"/>
    <w:uiPriority w:val="39"/>
    <w:unhideWhenUsed/>
    <w:pPr>
      <w:ind w:left="850" w:right="0" w:firstLine="0"/>
      <w:spacing w:before="0" w:after="57"/>
    </w:pPr>
  </w:style>
  <w:style w:type="paragraph" w:styleId="718">
    <w:name w:val="toc 5"/>
    <w:basedOn w:val="666"/>
    <w:next w:val="666"/>
    <w:uiPriority w:val="39"/>
    <w:unhideWhenUsed/>
    <w:pPr>
      <w:ind w:left="1134" w:right="0" w:firstLine="0"/>
      <w:spacing w:before="0" w:after="57"/>
    </w:pPr>
  </w:style>
  <w:style w:type="paragraph" w:styleId="719">
    <w:name w:val="toc 6"/>
    <w:basedOn w:val="666"/>
    <w:next w:val="666"/>
    <w:uiPriority w:val="39"/>
    <w:unhideWhenUsed/>
    <w:pPr>
      <w:ind w:left="1417" w:right="0" w:firstLine="0"/>
      <w:spacing w:before="0" w:after="57"/>
    </w:pPr>
  </w:style>
  <w:style w:type="paragraph" w:styleId="720">
    <w:name w:val="toc 7"/>
    <w:basedOn w:val="666"/>
    <w:next w:val="666"/>
    <w:uiPriority w:val="39"/>
    <w:unhideWhenUsed/>
    <w:pPr>
      <w:ind w:left="1701" w:right="0" w:firstLine="0"/>
      <w:spacing w:before="0" w:after="57"/>
    </w:pPr>
  </w:style>
  <w:style w:type="paragraph" w:styleId="721">
    <w:name w:val="toc 8"/>
    <w:basedOn w:val="666"/>
    <w:next w:val="666"/>
    <w:uiPriority w:val="39"/>
    <w:unhideWhenUsed/>
    <w:pPr>
      <w:ind w:left="1984" w:right="0" w:firstLine="0"/>
      <w:spacing w:before="0" w:after="57"/>
    </w:pPr>
  </w:style>
  <w:style w:type="paragraph" w:styleId="722">
    <w:name w:val="toc 9"/>
    <w:basedOn w:val="666"/>
    <w:next w:val="666"/>
    <w:uiPriority w:val="39"/>
    <w:unhideWhenUsed/>
    <w:pPr>
      <w:ind w:left="2268" w:right="0" w:firstLine="0"/>
      <w:spacing w:before="0" w:after="57"/>
    </w:pPr>
  </w:style>
  <w:style w:type="paragraph" w:styleId="723">
    <w:name w:val="Index Heading"/>
    <w:basedOn w:val="700"/>
  </w:style>
  <w:style w:type="paragraph" w:styleId="724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5">
    <w:name w:val="table of figures"/>
    <w:basedOn w:val="666"/>
    <w:next w:val="666"/>
    <w:uiPriority w:val="99"/>
    <w:unhideWhenUsed/>
    <w:qFormat/>
    <w:pPr>
      <w:spacing w:before="0" w:after="0" w:afterAutospacing="0"/>
    </w:pPr>
  </w:style>
  <w:style w:type="paragraph" w:styleId="726">
    <w:name w:val="No Spacing"/>
    <w:basedOn w:val="666"/>
    <w:uiPriority w:val="1"/>
    <w:qFormat/>
    <w:pPr>
      <w:spacing w:before="0" w:after="0" w:line="240" w:lineRule="auto"/>
    </w:pPr>
  </w:style>
  <w:style w:type="paragraph" w:styleId="727">
    <w:name w:val="List Paragraph"/>
    <w:basedOn w:val="666"/>
    <w:uiPriority w:val="34"/>
    <w:qFormat/>
    <w:pPr>
      <w:contextualSpacing/>
      <w:ind w:left="720" w:firstLine="0"/>
      <w:spacing w:before="0" w:after="200"/>
    </w:pPr>
  </w:style>
  <w:style w:type="paragraph" w:styleId="72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729" w:customStyle="1">
    <w:name w:val="defaultrenderers_paragraph__s7ymq"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730" w:default="1">
    <w:name w:val="No List"/>
    <w:uiPriority w:val="99"/>
    <w:semiHidden/>
    <w:unhideWhenUsed/>
    <w:qFormat/>
  </w:style>
  <w:style w:type="table" w:styleId="731">
    <w:name w:val="Table Grid"/>
    <w:basedOn w:val="8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5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5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4">
    <w:name w:val="Plain Table 2"/>
    <w:basedOn w:val="8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6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6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6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8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3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5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5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5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om.mail.ru/articles/85257-avariynoye-zhily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dunskaya-ee</cp:lastModifiedBy>
  <cp:revision>18</cp:revision>
  <dcterms:modified xsi:type="dcterms:W3CDTF">2025-04-23T11:48:11Z</dcterms:modified>
</cp:coreProperties>
</file>