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29"/>
        <w:jc w:val="center"/>
        <w:rPr>
          <w:rFonts w:ascii="Tinos" w:hAnsi="Tinos"/>
          <w:sz w:val="26"/>
          <w:szCs w:val="26"/>
          <w:highlight w:val="none"/>
        </w:rPr>
      </w:pPr>
      <w:r>
        <w:rPr>
          <w:rFonts w:ascii="Tinos" w:hAnsi="Tinos"/>
          <w:sz w:val="26"/>
          <w:szCs w:val="26"/>
        </w:rPr>
        <w:t xml:space="preserve">Используем НСПД при госземнадзоре</w:t>
      </w:r>
      <w:r>
        <w:rPr>
          <w:rFonts w:ascii="Tinos" w:hAnsi="Tinos"/>
          <w:sz w:val="26"/>
          <w:szCs w:val="26"/>
          <w:highlight w:val="none"/>
        </w:rPr>
      </w:r>
      <w:r>
        <w:rPr>
          <w:rFonts w:ascii="Tinos" w:hAnsi="Tinos"/>
          <w:sz w:val="26"/>
          <w:szCs w:val="26"/>
          <w:highlight w:val="none"/>
        </w:rPr>
      </w:r>
    </w:p>
    <w:p>
      <w:pPr>
        <w:pStyle w:val="829"/>
        <w:jc w:val="both"/>
        <w:spacing w:line="240" w:lineRule="auto"/>
        <w:rPr>
          <w:rFonts w:ascii="Liberation Serif" w:hAnsi="Liberation Serif" w:cs="Liberation Serif"/>
          <w:sz w:val="24"/>
          <w:szCs w:val="24"/>
          <w:highlight w:val="none"/>
        </w:rPr>
      </w:pPr>
      <w:r>
        <w:rPr>
          <w:rFonts w:ascii="Tinos" w:hAnsi="Tinos"/>
          <w:sz w:val="26"/>
          <w:szCs w:val="26"/>
        </w:rPr>
        <w:tab/>
      </w:r>
      <w:r>
        <w:rPr>
          <w:rFonts w:ascii="Liberation Serif" w:hAnsi="Liberation Serif" w:eastAsia="Liberation Serif" w:cs="Liberation Serif"/>
          <w:sz w:val="24"/>
          <w:szCs w:val="24"/>
        </w:rPr>
        <w:t xml:space="preserve">Национальная система пространственных данных (далее - НСПД) — единая цифровая пла</w:t>
      </w:r>
      <w:r>
        <w:rPr>
          <w:rFonts w:ascii="Liberation Serif" w:hAnsi="Liberation Serif" w:eastAsia="Liberation Serif" w:cs="Liberation Serif"/>
          <w:sz w:val="24"/>
          <w:szCs w:val="24"/>
        </w:rPr>
        <w:t xml:space="preserve">тформа, предназначенная для работы с открытыми пространственными данными. На цифровой платформе реализованы сервисы, предназначенные для поиска земельных участков для развития сельского хозяйства, туризма, строительства объектов недвижимости и иных целей. </w:t>
      </w:r>
      <w:r>
        <w:rPr>
          <w:rFonts w:ascii="Liberation Serif" w:hAnsi="Liberation Serif" w:eastAsia="Liberation Serif" w:cs="Liberation Serif"/>
          <w:sz w:val="24"/>
          <w:szCs w:val="24"/>
          <w:highlight w:val="none"/>
        </w:rPr>
      </w:r>
      <w:r>
        <w:rPr>
          <w:rFonts w:ascii="Liberation Serif" w:hAnsi="Liberation Serif" w:cs="Liberation Serif"/>
          <w:sz w:val="24"/>
          <w:szCs w:val="24"/>
          <w:highlight w:val="none"/>
        </w:rPr>
      </w:r>
    </w:p>
    <w:p>
      <w:pPr>
        <w:pStyle w:val="829"/>
        <w:jc w:val="both"/>
        <w:spacing w:line="240" w:lineRule="auto"/>
        <w:rPr>
          <w:rFonts w:ascii="Liberation Serif" w:hAnsi="Liberation Serif" w:cs="Liberation Serif"/>
          <w:sz w:val="24"/>
          <w:szCs w:val="24"/>
          <w:highlight w:val="none"/>
        </w:rPr>
      </w:pPr>
      <w:r>
        <w:rPr>
          <w:rFonts w:ascii="Liberation Serif" w:hAnsi="Liberation Serif" w:eastAsia="Liberation Serif" w:cs="Liberation Serif"/>
          <w:sz w:val="24"/>
          <w:szCs w:val="24"/>
        </w:rPr>
        <w:tab/>
      </w:r>
      <w:r>
        <w:rPr>
          <w:rFonts w:ascii="Liberation Serif" w:hAnsi="Liberation Serif" w:eastAsia="Liberation Serif" w:cs="Liberation Serif"/>
          <w:sz w:val="24"/>
          <w:szCs w:val="24"/>
        </w:rPr>
        <w:t xml:space="preserve">Платформа объединяет все данные  о земле, недвижимости, кадастровых границах и других объектах на территории РФ.</w:t>
      </w:r>
      <w:r>
        <w:rPr>
          <w:rFonts w:ascii="Liberation Serif" w:hAnsi="Liberation Serif" w:eastAsia="Liberation Serif" w:cs="Liberation Serif"/>
          <w:sz w:val="24"/>
          <w:szCs w:val="24"/>
          <w:highlight w:val="none"/>
        </w:rPr>
      </w:r>
      <w:r>
        <w:rPr>
          <w:rFonts w:ascii="Liberation Serif" w:hAnsi="Liberation Serif" w:cs="Liberation Serif"/>
          <w:sz w:val="24"/>
          <w:szCs w:val="24"/>
          <w:highlight w:val="none"/>
        </w:rPr>
      </w:r>
    </w:p>
    <w:p>
      <w:pPr>
        <w:pStyle w:val="829"/>
        <w:jc w:val="both"/>
        <w:spacing w:line="276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eastAsia="Liberation Serif" w:cs="Liberation Serif"/>
          <w:sz w:val="24"/>
          <w:szCs w:val="24"/>
        </w:rPr>
        <w:tab/>
      </w:r>
      <w:r>
        <w:rPr>
          <w:rFonts w:ascii="Liberation Serif" w:hAnsi="Liberation Serif" w:eastAsia="Liberation Serif" w:cs="Liberation Serif"/>
          <w:sz w:val="24"/>
          <w:szCs w:val="24"/>
        </w:rPr>
        <w:t xml:space="preserve">С помощью сервисов НСПД можно, например:</w:t>
      </w: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829"/>
        <w:jc w:val="both"/>
        <w:spacing w:line="276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eastAsia="Liberation Serif" w:cs="Liberation Serif"/>
          <w:sz w:val="24"/>
          <w:szCs w:val="24"/>
        </w:rPr>
        <w:tab/>
        <w:t xml:space="preserve">- узнать в границах какой территориальной зоны находится земельный участок;</w:t>
      </w: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829"/>
        <w:jc w:val="both"/>
        <w:spacing w:line="276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eastAsia="Liberation Serif" w:cs="Liberation Serif"/>
          <w:sz w:val="24"/>
          <w:szCs w:val="24"/>
        </w:rPr>
        <w:tab/>
        <w:t xml:space="preserve">- определить виды разрешенного использования земельного участка и объектов капитального строительства;</w:t>
      </w: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829"/>
        <w:jc w:val="both"/>
        <w:spacing w:line="240" w:lineRule="auto"/>
        <w:rPr>
          <w:rFonts w:ascii="Liberation Serif" w:hAnsi="Liberation Serif" w:cs="Liberation Serif"/>
          <w:sz w:val="24"/>
          <w:szCs w:val="24"/>
          <w:highlight w:val="none"/>
        </w:rPr>
      </w:pPr>
      <w:r>
        <w:rPr>
          <w:rFonts w:ascii="Liberation Serif" w:hAnsi="Liberation Serif" w:eastAsia="Liberation Serif" w:cs="Liberation Serif"/>
          <w:sz w:val="24"/>
          <w:szCs w:val="24"/>
        </w:rPr>
        <w:tab/>
        <w:t xml:space="preserve">- узнать, в границах какой зоны с особыми условиями </w:t>
      </w:r>
      <w:r>
        <w:rPr>
          <w:rFonts w:ascii="Liberation Serif" w:hAnsi="Liberation Serif" w:eastAsia="Liberation Serif" w:cs="Liberation Serif"/>
          <w:sz w:val="24"/>
          <w:szCs w:val="24"/>
        </w:rPr>
        <w:t xml:space="preserve">использования территории расположен земельный участок и какие ограничения в использовании для каждой такой зоны.</w:t>
      </w:r>
      <w:r>
        <w:rPr>
          <w:rFonts w:ascii="Liberation Serif" w:hAnsi="Liberation Serif" w:eastAsia="Liberation Serif" w:cs="Liberation Serif"/>
          <w:sz w:val="24"/>
          <w:szCs w:val="24"/>
          <w:highlight w:val="none"/>
        </w:rPr>
      </w:r>
      <w:r>
        <w:rPr>
          <w:rFonts w:ascii="Liberation Serif" w:hAnsi="Liberation Serif" w:cs="Liberation Serif"/>
          <w:sz w:val="24"/>
          <w:szCs w:val="24"/>
          <w:highlight w:val="none"/>
        </w:rPr>
      </w:r>
    </w:p>
    <w:p>
      <w:pPr>
        <w:pStyle w:val="842"/>
        <w:jc w:val="both"/>
        <w:spacing w:line="240" w:lineRule="auto"/>
        <w:rPr>
          <w:rFonts w:ascii="Liberation Serif" w:hAnsi="Liberation Serif" w:cs="Liberation Serif"/>
          <w:sz w:val="24"/>
          <w:szCs w:val="24"/>
          <w:highlight w:val="none"/>
        </w:rPr>
      </w:pPr>
      <w:r>
        <w:rPr>
          <w:rFonts w:ascii="Liberation Serif" w:hAnsi="Liberation Serif" w:eastAsia="Liberation Serif" w:cs="Liberation Serif"/>
          <w:sz w:val="24"/>
          <w:szCs w:val="24"/>
        </w:rPr>
        <w:t xml:space="preserve">Использован</w:t>
      </w:r>
      <w:r>
        <w:rPr>
          <w:rFonts w:ascii="Liberation Serif" w:hAnsi="Liberation Serif" w:eastAsia="Liberation Serif" w:cs="Liberation Serif"/>
          <w:sz w:val="24"/>
          <w:szCs w:val="24"/>
        </w:rPr>
        <w:t xml:space="preserve">ие при осуществлении функции государственного земельного надзора НСПД позволяет значительно сократить время на поиск необходимой информации. Обеспечивает повышение качества организации и планирования проведения выездных контрольных (надзорных) мероприятий.</w:t>
      </w:r>
      <w:r>
        <w:rPr>
          <w:rFonts w:ascii="Liberation Serif" w:hAnsi="Liberation Serif" w:eastAsia="Liberation Serif" w:cs="Liberation Serif"/>
          <w:sz w:val="24"/>
          <w:szCs w:val="24"/>
          <w:highlight w:val="none"/>
        </w:rPr>
      </w:r>
      <w:r>
        <w:rPr>
          <w:rFonts w:ascii="Liberation Serif" w:hAnsi="Liberation Serif" w:cs="Liberation Serif"/>
          <w:sz w:val="24"/>
          <w:szCs w:val="24"/>
          <w:highlight w:val="none"/>
        </w:rPr>
      </w:r>
    </w:p>
    <w:p>
      <w:pPr>
        <w:pStyle w:val="842"/>
        <w:jc w:val="both"/>
        <w:spacing w:line="240" w:lineRule="auto"/>
        <w:rPr>
          <w:rFonts w:ascii="Liberation Serif" w:hAnsi="Liberation Serif" w:cs="Liberation Serif"/>
          <w:sz w:val="24"/>
          <w:szCs w:val="24"/>
          <w:highlight w:val="none"/>
        </w:rPr>
      </w:pPr>
      <w:r>
        <w:rPr>
          <w:rFonts w:ascii="Liberation Serif" w:hAnsi="Liberation Serif" w:eastAsia="Liberation Serif" w:cs="Liberation Serif"/>
          <w:sz w:val="24"/>
          <w:szCs w:val="24"/>
        </w:rPr>
        <w:t xml:space="preserve">С использованием НСПД </w:t>
      </w:r>
      <w:r>
        <w:rPr>
          <w:rFonts w:ascii="Liberation Serif" w:hAnsi="Liberation Serif" w:eastAsia="Liberation Serif" w:cs="Liberation Serif"/>
          <w:sz w:val="24"/>
          <w:szCs w:val="24"/>
        </w:rPr>
        <w:t xml:space="preserve">проводятся наблюдения  за соблюдением обязательных требований, выявляются признаки нарушений. </w:t>
      </w:r>
      <w:r>
        <w:rPr>
          <w:rFonts w:ascii="Liberation Serif" w:hAnsi="Liberation Serif" w:eastAsia="Liberation Serif" w:cs="Liberation Serif"/>
          <w:sz w:val="24"/>
          <w:szCs w:val="24"/>
          <w:highlight w:val="none"/>
        </w:rPr>
      </w:r>
      <w:r>
        <w:rPr>
          <w:rFonts w:ascii="Liberation Serif" w:hAnsi="Liberation Serif" w:cs="Liberation Serif"/>
          <w:sz w:val="24"/>
          <w:szCs w:val="24"/>
          <w:highlight w:val="none"/>
        </w:rPr>
      </w:r>
    </w:p>
    <w:p>
      <w:pPr>
        <w:pStyle w:val="842"/>
        <w:jc w:val="both"/>
        <w:spacing w:line="240" w:lineRule="auto"/>
        <w:rPr>
          <w:rFonts w:ascii="Liberation Serif" w:hAnsi="Liberation Serif" w:cs="Liberation Serif"/>
          <w:sz w:val="24"/>
          <w:szCs w:val="24"/>
          <w:highlight w:val="none"/>
        </w:rPr>
      </w:pPr>
      <w:r>
        <w:rPr>
          <w:rFonts w:ascii="Liberation Serif" w:hAnsi="Liberation Serif" w:eastAsia="Liberation Serif" w:cs="Liberation Serif"/>
          <w:sz w:val="24"/>
          <w:szCs w:val="24"/>
        </w:rPr>
        <w:t xml:space="preserve">Использование НСПД позволяет более эффективно организовать контроль, сокращая количество рутинных проверок и административных процедур.</w:t>
      </w:r>
      <w:r>
        <w:rPr>
          <w:rFonts w:ascii="Liberation Serif" w:hAnsi="Liberation Serif" w:eastAsia="Liberation Serif" w:cs="Liberation Serif"/>
          <w:sz w:val="24"/>
          <w:szCs w:val="24"/>
          <w:highlight w:val="none"/>
        </w:rPr>
      </w:r>
      <w:r>
        <w:rPr>
          <w:rFonts w:ascii="Liberation Serif" w:hAnsi="Liberation Serif" w:cs="Liberation Serif"/>
          <w:sz w:val="24"/>
          <w:szCs w:val="24"/>
          <w:highlight w:val="none"/>
        </w:rPr>
      </w:r>
    </w:p>
    <w:p>
      <w:pPr>
        <w:pStyle w:val="842"/>
        <w:jc w:val="both"/>
        <w:spacing w:line="240" w:lineRule="auto"/>
        <w:rPr>
          <w:rFonts w:ascii="Liberation Serif" w:hAnsi="Liberation Serif" w:cs="Liberation Serif"/>
          <w:sz w:val="24"/>
          <w:szCs w:val="24"/>
          <w:highlight w:val="none"/>
        </w:rPr>
      </w:pPr>
      <w:r>
        <w:rPr>
          <w:rFonts w:ascii="Liberation Serif" w:hAnsi="Liberation Serif" w:eastAsia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eastAsia="Liberation Serif" w:cs="Liberation Serif"/>
          <w:sz w:val="24"/>
          <w:szCs w:val="24"/>
        </w:rPr>
        <w:t xml:space="preserve">На этапе подготовки к проведению выездного контрольного (надзорного) мероприятия определяются его цели </w:t>
      </w:r>
      <w:r>
        <w:rPr>
          <w:rFonts w:ascii="Liberation Serif" w:hAnsi="Liberation Serif" w:eastAsia="Liberation Serif" w:cs="Liberation Serif"/>
          <w:sz w:val="24"/>
          <w:szCs w:val="24"/>
        </w:rPr>
        <w:t xml:space="preserve">и формулируются задачи. Например, для цели вовлечения неиспользуемых земельных участков в гражданский оборот, с помощью НСПД можно определить такие участки. Земельные участки можно визуализировать на картографической основе при помощи цветовой маркировки. </w:t>
      </w:r>
      <w:r>
        <w:rPr>
          <w:rFonts w:ascii="Liberation Serif" w:hAnsi="Liberation Serif" w:eastAsia="Liberation Serif" w:cs="Liberation Serif"/>
          <w:sz w:val="24"/>
          <w:szCs w:val="24"/>
          <w:highlight w:val="none"/>
        </w:rPr>
      </w:r>
      <w:r>
        <w:rPr>
          <w:rFonts w:ascii="Liberation Serif" w:hAnsi="Liberation Serif" w:cs="Liberation Serif"/>
          <w:sz w:val="24"/>
          <w:szCs w:val="24"/>
          <w:highlight w:val="none"/>
        </w:rPr>
      </w:r>
    </w:p>
    <w:p>
      <w:pPr>
        <w:pStyle w:val="829"/>
        <w:jc w:val="both"/>
        <w:spacing w:line="240" w:lineRule="auto"/>
        <w:rPr>
          <w:rFonts w:ascii="Liberation Serif" w:hAnsi="Liberation Serif" w:cs="Liberation Serif"/>
          <w:color w:val="000000"/>
          <w:sz w:val="24"/>
          <w:szCs w:val="24"/>
          <w:highlight w:val="none"/>
        </w:rPr>
      </w:pPr>
      <w:r>
        <w:rPr>
          <w:rFonts w:ascii="Liberation Serif" w:hAnsi="Liberation Serif" w:eastAsia="Liberation Serif" w:cs="Liberation Serif"/>
          <w:sz w:val="24"/>
          <w:szCs w:val="24"/>
        </w:rPr>
        <w:tab/>
        <w:t xml:space="preserve">В зависимости от оснований, по которым проводится то или иное контрольное (надзорное) мероприятие, надзорная деятельность может осуществляться как в целях проверки</w:t>
      </w:r>
      <w:r>
        <w:rPr>
          <w:rFonts w:ascii="Liberation Serif" w:hAnsi="Liberation Serif" w:eastAsia="Liberation Serif" w:cs="Liberation Serif"/>
          <w:sz w:val="24"/>
          <w:szCs w:val="24"/>
        </w:rPr>
        <w:t xml:space="preserve"> соблюдения требований земельного законодательства в целом, так и по отдельным конкретным вопросам. Так при разрешении, в ходе проведения контрольного (надзорного) мероприятия, вопроса об использовании конкретного земельного участка в соответствии с видом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  <w:t xml:space="preserve">разрешенного использования, весьма востребован сервис НСПД «Градостроительная проработка онлайн».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  <w:highlight w:val="none"/>
        </w:rPr>
      </w:r>
      <w:r>
        <w:rPr>
          <w:rFonts w:ascii="Liberation Serif" w:hAnsi="Liberation Serif" w:cs="Liberation Serif"/>
          <w:color w:val="000000"/>
          <w:sz w:val="24"/>
          <w:szCs w:val="24"/>
          <w:highlight w:val="none"/>
        </w:rPr>
      </w:r>
    </w:p>
    <w:p>
      <w:pPr>
        <w:pStyle w:val="829"/>
        <w:jc w:val="both"/>
        <w:spacing w:before="0" w:after="160" w:line="276" w:lineRule="auto"/>
        <w:rPr>
          <w:rFonts w:ascii="Liberation Serif" w:hAnsi="Liberation Serif" w:cs="Liberation Serif"/>
          <w:b w:val="0"/>
          <w:i w:val="0"/>
          <w:caps w:val="0"/>
          <w:smallCaps w:val="0"/>
          <w:color w:val="000000"/>
          <w:spacing w:val="0"/>
          <w:sz w:val="24"/>
          <w:szCs w:val="24"/>
        </w:rPr>
      </w:pPr>
      <w:r>
        <w:rPr>
          <w:rFonts w:ascii="Liberation Serif" w:hAnsi="Liberation Serif" w:eastAsia="Liberation Serif" w:cs="Liberation Serif"/>
          <w:b w:val="0"/>
          <w:i w:val="0"/>
          <w:caps w:val="0"/>
          <w:smallCaps w:val="0"/>
          <w:color w:val="000000"/>
          <w:spacing w:val="0"/>
          <w:sz w:val="24"/>
          <w:szCs w:val="24"/>
        </w:rPr>
        <w:tab/>
        <w:t xml:space="preserve">«В рамках осуществления контрольной (надзорной) деятельности инспекторами </w:t>
      </w:r>
      <w:r>
        <w:rPr>
          <w:rFonts w:ascii="Liberation Serif" w:hAnsi="Liberation Serif" w:eastAsia="Liberation Serif" w:cs="Liberation Serif"/>
          <w:b w:val="0"/>
          <w:i w:val="0"/>
          <w:caps w:val="0"/>
          <w:smallCaps w:val="0"/>
          <w:color w:val="000000"/>
          <w:spacing w:val="0"/>
          <w:sz w:val="24"/>
          <w:szCs w:val="24"/>
        </w:rPr>
        <w:t xml:space="preserve">Управления</w:t>
      </w:r>
      <w:r>
        <w:rPr>
          <w:rFonts w:ascii="Liberation Serif" w:hAnsi="Liberation Serif" w:eastAsia="Liberation Serif" w:cs="Liberation Serif"/>
          <w:b w:val="0"/>
          <w:i w:val="0"/>
          <w:caps w:val="0"/>
          <w:smallCaps w:val="0"/>
          <w:color w:val="000000"/>
          <w:spacing w:val="0"/>
          <w:sz w:val="24"/>
          <w:szCs w:val="24"/>
        </w:rPr>
        <w:t xml:space="preserve"> проводится обследование территорий на предмет выявления неэффективно используемых земельных участков для последующего вовлечения их в хозяйственный оборот,» – сообщила Марина Леванова, начальник отдела государственного земельного надзора Управления Росреестра по Ивановской области.</w:t>
      </w:r>
      <w:r>
        <w:rPr>
          <w:rFonts w:ascii="Liberation Serif" w:hAnsi="Liberation Serif" w:cs="Liberation Serif"/>
          <w:b w:val="0"/>
          <w:i w:val="0"/>
          <w:caps w:val="0"/>
          <w:smallCaps w:val="0"/>
          <w:color w:val="000000"/>
          <w:spacing w:val="0"/>
          <w:sz w:val="24"/>
          <w:szCs w:val="24"/>
        </w:rPr>
      </w:r>
      <w:r>
        <w:rPr>
          <w:rFonts w:ascii="Liberation Serif" w:hAnsi="Liberation Serif" w:cs="Liberation Serif"/>
          <w:b w:val="0"/>
          <w:i w:val="0"/>
          <w:caps w:val="0"/>
          <w:smallCaps w:val="0"/>
          <w:color w:val="000000"/>
          <w:spacing w:val="0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nos">
    <w:panose1 w:val="02020603050405020304"/>
  </w:font>
  <w:font w:name="Times New Roman">
    <w:panose1 w:val="02020603050405020304"/>
  </w:font>
  <w:font w:name="Tahoma">
    <w:panose1 w:val="020B0604030504040204"/>
  </w:font>
  <w:font w:name="Noto Sans Devanagari">
    <w:panose1 w:val="020B0502040504020204"/>
  </w:font>
  <w:font w:name="Segoe UI">
    <w:panose1 w:val="020B0502040504020204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29"/>
    <w:next w:val="829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0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29"/>
    <w:next w:val="829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0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29"/>
    <w:next w:val="829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0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29"/>
    <w:next w:val="829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0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29"/>
    <w:next w:val="829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0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29"/>
    <w:next w:val="829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0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29"/>
    <w:next w:val="829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0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29"/>
    <w:next w:val="829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0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29"/>
    <w:next w:val="829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0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No Spacing"/>
    <w:uiPriority w:val="1"/>
    <w:qFormat/>
    <w:pPr>
      <w:spacing w:before="0" w:after="0" w:line="240" w:lineRule="auto"/>
    </w:pPr>
  </w:style>
  <w:style w:type="paragraph" w:styleId="673">
    <w:name w:val="Title"/>
    <w:basedOn w:val="829"/>
    <w:next w:val="829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basedOn w:val="830"/>
    <w:link w:val="673"/>
    <w:uiPriority w:val="10"/>
    <w:rPr>
      <w:sz w:val="48"/>
      <w:szCs w:val="48"/>
    </w:rPr>
  </w:style>
  <w:style w:type="paragraph" w:styleId="675">
    <w:name w:val="Subtitle"/>
    <w:basedOn w:val="829"/>
    <w:next w:val="829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basedOn w:val="830"/>
    <w:link w:val="675"/>
    <w:uiPriority w:val="11"/>
    <w:rPr>
      <w:sz w:val="24"/>
      <w:szCs w:val="24"/>
    </w:rPr>
  </w:style>
  <w:style w:type="paragraph" w:styleId="677">
    <w:name w:val="Quote"/>
    <w:basedOn w:val="829"/>
    <w:next w:val="829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29"/>
    <w:next w:val="829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29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basedOn w:val="830"/>
    <w:link w:val="681"/>
    <w:uiPriority w:val="99"/>
  </w:style>
  <w:style w:type="paragraph" w:styleId="683">
    <w:name w:val="Footer"/>
    <w:basedOn w:val="829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basedOn w:val="830"/>
    <w:link w:val="683"/>
    <w:uiPriority w:val="99"/>
  </w:style>
  <w:style w:type="character" w:styleId="685">
    <w:name w:val="Caption Char"/>
    <w:basedOn w:val="830"/>
    <w:link w:val="837"/>
    <w:uiPriority w:val="35"/>
    <w:rPr>
      <w:b/>
      <w:bCs/>
      <w:color w:val="4f81bd" w:themeColor="accent1"/>
      <w:sz w:val="18"/>
      <w:szCs w:val="18"/>
    </w:rPr>
  </w:style>
  <w:style w:type="table" w:styleId="686">
    <w:name w:val="Table Grid"/>
    <w:basedOn w:val="84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2">
    <w:name w:val="footnote text"/>
    <w:basedOn w:val="829"/>
    <w:link w:val="813"/>
    <w:uiPriority w:val="99"/>
    <w:semiHidden/>
    <w:unhideWhenUsed/>
    <w:pPr>
      <w:spacing w:after="40" w:line="240" w:lineRule="auto"/>
    </w:pPr>
    <w:rPr>
      <w:sz w:val="18"/>
    </w:rPr>
  </w:style>
  <w:style w:type="character" w:styleId="813">
    <w:name w:val="Footnote Text Char"/>
    <w:link w:val="812"/>
    <w:uiPriority w:val="99"/>
    <w:rPr>
      <w:sz w:val="18"/>
    </w:rPr>
  </w:style>
  <w:style w:type="character" w:styleId="814">
    <w:name w:val="footnote reference"/>
    <w:basedOn w:val="830"/>
    <w:uiPriority w:val="99"/>
    <w:unhideWhenUsed/>
    <w:rPr>
      <w:vertAlign w:val="superscript"/>
    </w:rPr>
  </w:style>
  <w:style w:type="paragraph" w:styleId="815">
    <w:name w:val="endnote text"/>
    <w:basedOn w:val="829"/>
    <w:link w:val="816"/>
    <w:uiPriority w:val="99"/>
    <w:semiHidden/>
    <w:unhideWhenUsed/>
    <w:pPr>
      <w:spacing w:after="0" w:line="240" w:lineRule="auto"/>
    </w:pPr>
    <w:rPr>
      <w:sz w:val="20"/>
    </w:rPr>
  </w:style>
  <w:style w:type="character" w:styleId="816">
    <w:name w:val="Endnote Text Char"/>
    <w:link w:val="815"/>
    <w:uiPriority w:val="99"/>
    <w:rPr>
      <w:sz w:val="20"/>
    </w:rPr>
  </w:style>
  <w:style w:type="character" w:styleId="817">
    <w:name w:val="endnote reference"/>
    <w:basedOn w:val="830"/>
    <w:uiPriority w:val="99"/>
    <w:semiHidden/>
    <w:unhideWhenUsed/>
    <w:rPr>
      <w:vertAlign w:val="superscript"/>
    </w:rPr>
  </w:style>
  <w:style w:type="paragraph" w:styleId="818">
    <w:name w:val="toc 1"/>
    <w:basedOn w:val="829"/>
    <w:next w:val="829"/>
    <w:uiPriority w:val="39"/>
    <w:unhideWhenUsed/>
    <w:pPr>
      <w:ind w:left="0" w:right="0" w:firstLine="0"/>
      <w:spacing w:after="57"/>
    </w:pPr>
  </w:style>
  <w:style w:type="paragraph" w:styleId="819">
    <w:name w:val="toc 2"/>
    <w:basedOn w:val="829"/>
    <w:next w:val="829"/>
    <w:uiPriority w:val="39"/>
    <w:unhideWhenUsed/>
    <w:pPr>
      <w:ind w:left="283" w:right="0" w:firstLine="0"/>
      <w:spacing w:after="57"/>
    </w:pPr>
  </w:style>
  <w:style w:type="paragraph" w:styleId="820">
    <w:name w:val="toc 3"/>
    <w:basedOn w:val="829"/>
    <w:next w:val="829"/>
    <w:uiPriority w:val="39"/>
    <w:unhideWhenUsed/>
    <w:pPr>
      <w:ind w:left="567" w:right="0" w:firstLine="0"/>
      <w:spacing w:after="57"/>
    </w:pPr>
  </w:style>
  <w:style w:type="paragraph" w:styleId="821">
    <w:name w:val="toc 4"/>
    <w:basedOn w:val="829"/>
    <w:next w:val="829"/>
    <w:uiPriority w:val="39"/>
    <w:unhideWhenUsed/>
    <w:pPr>
      <w:ind w:left="850" w:right="0" w:firstLine="0"/>
      <w:spacing w:after="57"/>
    </w:pPr>
  </w:style>
  <w:style w:type="paragraph" w:styleId="822">
    <w:name w:val="toc 5"/>
    <w:basedOn w:val="829"/>
    <w:next w:val="829"/>
    <w:uiPriority w:val="39"/>
    <w:unhideWhenUsed/>
    <w:pPr>
      <w:ind w:left="1134" w:right="0" w:firstLine="0"/>
      <w:spacing w:after="57"/>
    </w:pPr>
  </w:style>
  <w:style w:type="paragraph" w:styleId="823">
    <w:name w:val="toc 6"/>
    <w:basedOn w:val="829"/>
    <w:next w:val="829"/>
    <w:uiPriority w:val="39"/>
    <w:unhideWhenUsed/>
    <w:pPr>
      <w:ind w:left="1417" w:right="0" w:firstLine="0"/>
      <w:spacing w:after="57"/>
    </w:pPr>
  </w:style>
  <w:style w:type="paragraph" w:styleId="824">
    <w:name w:val="toc 7"/>
    <w:basedOn w:val="829"/>
    <w:next w:val="829"/>
    <w:uiPriority w:val="39"/>
    <w:unhideWhenUsed/>
    <w:pPr>
      <w:ind w:left="1701" w:right="0" w:firstLine="0"/>
      <w:spacing w:after="57"/>
    </w:pPr>
  </w:style>
  <w:style w:type="paragraph" w:styleId="825">
    <w:name w:val="toc 8"/>
    <w:basedOn w:val="829"/>
    <w:next w:val="829"/>
    <w:uiPriority w:val="39"/>
    <w:unhideWhenUsed/>
    <w:pPr>
      <w:ind w:left="1984" w:right="0" w:firstLine="0"/>
      <w:spacing w:after="57"/>
    </w:pPr>
  </w:style>
  <w:style w:type="paragraph" w:styleId="826">
    <w:name w:val="toc 9"/>
    <w:basedOn w:val="829"/>
    <w:next w:val="829"/>
    <w:uiPriority w:val="39"/>
    <w:unhideWhenUsed/>
    <w:pPr>
      <w:ind w:left="2268" w:right="0" w:firstLine="0"/>
      <w:spacing w:after="57"/>
    </w:pPr>
  </w:style>
  <w:style w:type="paragraph" w:styleId="827">
    <w:name w:val="TOC Heading"/>
    <w:uiPriority w:val="39"/>
    <w:unhideWhenUsed/>
  </w:style>
  <w:style w:type="paragraph" w:styleId="828">
    <w:name w:val="table of figures"/>
    <w:basedOn w:val="829"/>
    <w:next w:val="829"/>
    <w:uiPriority w:val="99"/>
    <w:unhideWhenUsed/>
    <w:pPr>
      <w:spacing w:after="0" w:afterAutospacing="0"/>
    </w:pPr>
  </w:style>
  <w:style w:type="paragraph" w:styleId="829" w:default="1">
    <w:name w:val="Normal"/>
    <w:qFormat/>
    <w:pPr>
      <w:jc w:val="left"/>
      <w:spacing w:before="0" w:after="160" w:line="259" w:lineRule="auto"/>
      <w:widowControl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character" w:styleId="830" w:default="1">
    <w:name w:val="Default Paragraph Font"/>
    <w:uiPriority w:val="1"/>
    <w:semiHidden/>
    <w:unhideWhenUsed/>
    <w:qFormat/>
  </w:style>
  <w:style w:type="character" w:styleId="831">
    <w:name w:val="annotation reference"/>
    <w:uiPriority w:val="99"/>
    <w:semiHidden/>
    <w:unhideWhenUsed/>
    <w:qFormat/>
    <w:rPr>
      <w:sz w:val="16"/>
      <w:szCs w:val="16"/>
    </w:rPr>
  </w:style>
  <w:style w:type="character" w:styleId="832" w:customStyle="1">
    <w:name w:val="Текст выноски Знак"/>
    <w:basedOn w:val="830"/>
    <w:link w:val="841"/>
    <w:uiPriority w:val="99"/>
    <w:semiHidden/>
    <w:qFormat/>
    <w:rPr>
      <w:rFonts w:ascii="Segoe UI" w:hAnsi="Segoe UI" w:cs="Segoe UI"/>
      <w:sz w:val="18"/>
      <w:szCs w:val="18"/>
    </w:rPr>
  </w:style>
  <w:style w:type="character" w:styleId="833">
    <w:name w:val="Hyperlink"/>
    <w:basedOn w:val="830"/>
    <w:uiPriority w:val="99"/>
    <w:semiHidden/>
    <w:unhideWhenUsed/>
    <w:rPr>
      <w:color w:val="0000ff"/>
      <w:u w:val="single"/>
    </w:rPr>
  </w:style>
  <w:style w:type="paragraph" w:styleId="834">
    <w:name w:val="Заголовок"/>
    <w:basedOn w:val="829"/>
    <w:next w:val="835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835">
    <w:name w:val="Body Text"/>
    <w:basedOn w:val="829"/>
    <w:pPr>
      <w:spacing w:before="0" w:after="140" w:line="276" w:lineRule="auto"/>
    </w:pPr>
  </w:style>
  <w:style w:type="paragraph" w:styleId="836">
    <w:name w:val="List"/>
    <w:basedOn w:val="835"/>
    <w:rPr>
      <w:rFonts w:ascii="PT Astra Serif" w:hAnsi="PT Astra Serif" w:cs="Noto Sans Devanagari"/>
    </w:rPr>
  </w:style>
  <w:style w:type="paragraph" w:styleId="837">
    <w:name w:val="Caption"/>
    <w:basedOn w:val="829"/>
    <w:link w:val="685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38">
    <w:name w:val="Указатель"/>
    <w:basedOn w:val="829"/>
    <w:qFormat/>
    <w:pPr>
      <w:suppressLineNumbers/>
    </w:pPr>
    <w:rPr>
      <w:rFonts w:ascii="PT Astra Serif" w:hAnsi="PT Astra Serif" w:cs="Noto Sans Devanagari"/>
    </w:rPr>
  </w:style>
  <w:style w:type="paragraph" w:styleId="839">
    <w:name w:val="List Paragraph"/>
    <w:basedOn w:val="829"/>
    <w:uiPriority w:val="34"/>
    <w:qFormat/>
    <w:pPr>
      <w:contextualSpacing/>
      <w:ind w:left="720"/>
      <w:spacing w:before="0" w:after="160"/>
    </w:pPr>
  </w:style>
  <w:style w:type="paragraph" w:styleId="840">
    <w:name w:val="Normal (Web)"/>
    <w:basedOn w:val="829"/>
    <w:uiPriority w:val="99"/>
    <w:unhideWhenUsed/>
    <w:qFormat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41">
    <w:name w:val="Balloon Text"/>
    <w:basedOn w:val="829"/>
    <w:link w:val="832"/>
    <w:uiPriority w:val="99"/>
    <w:semiHidden/>
    <w:unhideWhenUsed/>
    <w:qFormat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842">
    <w:name w:val="Body Text First Indent"/>
    <w:basedOn w:val="829"/>
    <w:pPr>
      <w:ind w:left="0" w:right="0" w:firstLine="709"/>
      <w:jc w:val="both"/>
    </w:pPr>
  </w:style>
  <w:style w:type="numbering" w:styleId="843" w:default="1">
    <w:name w:val="No List"/>
    <w:uiPriority w:val="99"/>
    <w:semiHidden/>
    <w:unhideWhenUsed/>
    <w:qFormat/>
  </w:style>
  <w:style w:type="table" w:styleId="844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Назарова Татьяна Леонидовна</dc:creator>
  <dc:description/>
  <dc:language>ru-RU</dc:language>
  <cp:lastModifiedBy>dunskaya-ee</cp:lastModifiedBy>
  <cp:revision>113</cp:revision>
  <dcterms:created xsi:type="dcterms:W3CDTF">2024-07-02T12:38:00Z</dcterms:created>
  <dcterms:modified xsi:type="dcterms:W3CDTF">2026-06-24T05:53:14Z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