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60" w:firstLine="0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Как читать сведения об ограничениях?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567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none"/>
        </w:rPr>
        <w:t xml:space="preserve">Отвечает начальник отдела государственной регистрации недвижимости №3 Управления Росреестра по Ивановской области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t xml:space="preserve">Оксана Шутова: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contextualSpacing/>
        <w:ind w:firstLine="360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проведении проверки объекта недвижимости в цел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ях осуществления учётно‑регистрационных действий (строительство, переход права собственности, учет изменений) необходимо тщательно изучить сведения об ограничениях, которые могут быть установлены в отношении прав на объект, либо в отношении самого объекта.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360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Обычно эта информация содержится в выписке из Единого государственного реестра недвижимости (ЕГРН) в разделе 2, пункт 4 «Ограничение прав и обременение объекта недвижимости». Если ограничений нет, будет указана отметка «не зарегистрировано».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360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Наличие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сведений об ограничениях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—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ключевой этап, так как одно упоминание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 их наличии,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 существенно повлиять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аши планы по использованию объекта или даже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отказаться 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сделк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contextualSpacing/>
        <w:ind w:firstLine="0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8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Примеры распространённых ограничений: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ind w:firstLine="708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Ипотека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Объект недвижимости находится в залоге у банка. До полного погашения кредита любые действия с объектом (продажа, дарение, обмен, выделение доли) возможны только с согласия банка.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Аренда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Объект полностью или частично находится под обременением по договору аренды.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Сервитут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Право ограниченного пользования чужим объектом. Владелец сохраняет право владения и распоряжения, но обязан обеспечить доступ лицу, в чью пользу установлен сервитут.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Арест или запрет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Любые регистрационные действия с объектом запрещены до снятия наложенных мер.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Зоны с особыми условиями использования (ЗОУИТ)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Ограничивают строительство, ведение определённых видов деятельности и использование объекта, требуют получения дополнительных согласований.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firstLine="708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Практический совет: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contextualSpacing/>
        <w:ind w:left="0" w:right="0" w:firstLine="567"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 совершением значимых действий, таких как покупка, строительство или реконструкция объекта недвижимости, рекомендуется заказать выписку из ЕГРН. Это позволит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ам получить полную информацию обо всех официальных обременениях и ограничениях, установленных в отношении объекта. На основании этих данных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ы сможете принять взвешенное и обоснованное решение относительно дальнейших действий с недвижимостью.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/>
        <w:jc w:val="both"/>
        <w:spacing w:beforeAutospacing="1" w:after="0" w:afterAutospacing="1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dunskaya-ee</cp:lastModifiedBy>
  <cp:revision>1</cp:revision>
  <dcterms:modified xsi:type="dcterms:W3CDTF">2026-08-05T07:30:20Z</dcterms:modified>
</cp:coreProperties>
</file>