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0" w:after="0" w:line="240" w:lineRule="auto"/>
        <w:rPr>
          <w:rFonts w:ascii="Liberation Serif" w:hAnsi="Liberation Serif" w:cs="Liberation Serif"/>
          <w:b/>
          <w:bCs/>
          <w:color w:val="auto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Выявление правообладателей ранее учтенных объектов недвижимости</w:t>
      </w:r>
      <w:r>
        <w:rPr>
          <w:rFonts w:ascii="Liberation Serif" w:hAnsi="Liberation Serif" w:cs="Liberation Serif"/>
          <w:b/>
          <w:bCs/>
          <w:color w:val="auto"/>
          <w:sz w:val="27"/>
          <w:szCs w:val="27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7"/>
          <w:szCs w:val="27"/>
          <w:highlight w:val="none"/>
        </w:rPr>
      </w:r>
    </w:p>
    <w:p>
      <w:pPr>
        <w:jc w:val="left"/>
        <w:spacing w:before="0" w:after="0" w:line="240" w:lineRule="auto"/>
        <w:rPr>
          <w:rFonts w:ascii="Liberation Serif" w:hAnsi="Liberation Serif" w:cs="Liberation Serif"/>
          <w:b/>
          <w:bCs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b/>
          <w:color w:val="auto"/>
          <w:sz w:val="27"/>
          <w:szCs w:val="27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7"/>
          <w:szCs w:val="27"/>
        </w:rPr>
      </w:r>
      <w:r>
        <w:rPr>
          <w:rFonts w:ascii="Liberation Serif" w:hAnsi="Liberation Serif" w:cs="Liberation Serif"/>
          <w:b/>
          <w:bCs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bCs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В настоящее время органами местного самоуправления в рамках реализации 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Федерального закона от 30.12.2020 № 518-ФЗ «О 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внесении изменений в отдельные законодательные акты Российской Федерации» (далее – Закон №518-ФЗ) проводятся работы по выявлению правообладателей ранее учтенных объектов недвижимости, разъяснительная работа с гражданами и юридического лицами по регистрации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прав в ЕГРН, а также работы по снятию с кадастрового учета объектов недвижимости, прекративших свое существование и земельных участков, поставленных на государственный кадастровый учет до 01.03.2008 года и не предоставленных гражданам и юридическим лицам.</w:t>
      </w:r>
      <w:r>
        <w:rPr>
          <w:rFonts w:ascii="Liberation Serif" w:hAnsi="Liberation Serif" w:cs="Liberation Serif"/>
          <w:bCs/>
          <w:color w:val="auto"/>
          <w:sz w:val="27"/>
          <w:szCs w:val="27"/>
        </w:rPr>
      </w:r>
      <w:r>
        <w:rPr>
          <w:rFonts w:ascii="Liberation Serif" w:hAnsi="Liberation Serif" w:cs="Liberation Serif"/>
          <w:bCs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i w:val="0"/>
          <w:iCs w:val="0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«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  <w:highlight w:val="white"/>
        </w:rPr>
        <w:t xml:space="preserve">До 01.04.2026 в рамках Закона № 518‑ФЗ 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органами местного самоуправления внесена информация в отношении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4416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объектов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недвижимого имущества,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29674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объектов недвижимости сняты с государственного кадастрового учета в связи с прекращением существования, проведена работа с гражданами и юридическими лицами по регистрации прав и после данной работы внесены сведения о правах в отношении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47692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объектов недвижимости», – отметила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  <w:lang w:eastAsia="ru-RU"/>
        </w:rPr>
        <w:t xml:space="preserve">Ольга Смирнова,</w:t>
      </w: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Cs/>
          <w:i w:val="0"/>
          <w:iCs w:val="0"/>
          <w:color w:val="auto"/>
          <w:sz w:val="27"/>
          <w:szCs w:val="27"/>
          <w:lang w:eastAsia="ru-RU"/>
        </w:rPr>
        <w:t xml:space="preserve">з</w:t>
      </w:r>
      <w:r>
        <w:rPr>
          <w:rFonts w:ascii="Liberation Serif" w:hAnsi="Liberation Serif" w:eastAsia="Liberation Serif" w:cs="Liberation Serif"/>
          <w:i w:val="0"/>
          <w:iCs w:val="0"/>
          <w:color w:val="auto"/>
          <w:sz w:val="27"/>
          <w:szCs w:val="27"/>
        </w:rPr>
        <w:t xml:space="preserve">аместитель руководителя Управления Росреестра по Ивановской области</w:t>
      </w:r>
      <w:r>
        <w:rPr>
          <w:rFonts w:ascii="Liberation Serif" w:hAnsi="Liberation Serif" w:eastAsia="Liberation Serif" w:cs="Liberation Serif"/>
          <w:bCs/>
          <w:i w:val="0"/>
          <w:iCs w:val="0"/>
          <w:color w:val="auto"/>
          <w:sz w:val="27"/>
          <w:szCs w:val="27"/>
          <w:lang w:eastAsia="ru-RU"/>
        </w:rPr>
        <w:t xml:space="preserve">. </w:t>
      </w:r>
      <w:r>
        <w:rPr>
          <w:rFonts w:ascii="Liberation Serif" w:hAnsi="Liberation Serif" w:cs="Liberation Serif"/>
          <w:i w:val="0"/>
          <w:iCs w:val="0"/>
          <w:color w:val="auto"/>
          <w:sz w:val="27"/>
          <w:szCs w:val="27"/>
        </w:rPr>
      </w:r>
      <w:r>
        <w:rPr>
          <w:rFonts w:ascii="Liberation Serif" w:hAnsi="Liberation Serif" w:cs="Liberation Serif"/>
          <w:i w:val="0"/>
          <w:iCs w:val="0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bCs/>
          <w:color w:val="auto"/>
          <w:sz w:val="27"/>
          <w:szCs w:val="27"/>
          <w:lang w:eastAsia="ru-RU"/>
        </w:rPr>
        <w:t xml:space="preserve">Управлением направляются разъяснительные письма собственникам объектов недвижимости, с рекомендацией в части регистрации права  собственности.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i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i/>
          <w:color w:val="auto"/>
          <w:sz w:val="27"/>
          <w:szCs w:val="27"/>
        </w:rPr>
        <w:t xml:space="preserve"> В связи с отсутствием сведений в Едином государственном реестре недвижимости (ЕГРН) о правах на объекты капитального строительства и земельных участков у правообладателей могут возникнуть проблемы, а именно:</w:t>
      </w:r>
      <w:r>
        <w:rPr>
          <w:rFonts w:ascii="Liberation Serif" w:hAnsi="Liberation Serif" w:cs="Liberation Serif"/>
          <w:i/>
          <w:color w:val="auto"/>
          <w:sz w:val="27"/>
          <w:szCs w:val="27"/>
        </w:rPr>
      </w:r>
      <w:r>
        <w:rPr>
          <w:rFonts w:ascii="Liberation Serif" w:hAnsi="Liberation Serif" w:cs="Liberation Serif"/>
          <w:i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- невозможно внесение отметки о государственной регистрации права без личного участия правообладателя;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- н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е получится взять кредит под залог дома. Банковские юристы очень тщательно отрабатывают документы по недвижимости и не принимают в залог, если сведения о правах не внесены в ЕГРН;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- могут возникнуть сложности с получением компенсации по страховому случаю;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- могут возникнуть вопросы при уточнении границ земельного участка, а также при подготовки технического плана на уточненный объект недвижимости;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- объект будет отсутствовать в личном кабинете государственных услуг, и вы не сможете заказать по нему бесплатную выписку из ЕГРН.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bookmarkStart w:id="0" w:name="_GoBack"/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bookmarkEnd w:id="0"/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Речь идет об объектах недвижимости, права на которые называю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т «ранее возникшими» - то есть правами, которые были приобретены собственником до 31 января 1998 года. А именно, до вступления в силу Федерального закона от 21.07.1997 № 122 - ФЗ «О государственной регистрации прав на недвижимое имущество и сделок с ним».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Сведения о таких правах уже были учтены в Бюро технической инвентаризации (далее – БТИ) или комитетами по земельным ресурсам и землеустройству, местными администрациями.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До 31 января 1998 года учет жилых помещений и регистрация договоров в отношении них осуществлялся органами БТИ, которые проставляли на правоустанавливающем документе штамп о государственной регистрации.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Е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сли же объектом недвижимости являлся земельный участок, то документы регистрировали в земельном комитете и выдавали свидетельство о праве собственности.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В указанных случаях право собственности на объект недвижимости считается ранее возникшим и признается юридически действительным, даже при отсутствии сведений о его государственной регистрации в ЕГРН.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Однако, при отсутствии сведений о такой недвижимости в ЕГРН получить выписку, подтверждающую наличие права собственности на нее, невозможно.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Для государственной регистрации ранее возникшего права необходимо, чтобы объект недвижимости стоял на кадастровом учете,  сведения о нем были внесены в ЕГРН, и наличие правоустанавливающего документа, выданного до 31.01.1998 года.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Такими правоустанавливающими докуме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нтами на земельные участки могут быть: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свидетельство о праве собственности на землю; 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государственный акт о праве пожизненного наследуемого владения земельным участком, праве постоянного (бессрочного) пользования земельным участком; 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иной акт органа власти (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о предоставлении земельного участка в собственность граждан (бесплатно); 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нотариально удостоверенный договор купли-продажи, дарения, мены; 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вступившее в законную силу решение суда, подтверждающее право собственности; 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свидетельство о праве на наследство и пр.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По своему желанию правообладатель может обратиться в любой офис приема документов многофункционального центра «Мои документы» и подать соответствующее заявление и документ, на основании которого право ранее было зарегистрировано. 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С 1 января 2021 года вступили в силу изменения в Налоговый кодекс Российской Федерации, согласно которым за государственную регистрацию ранее возникших прав на недвижимость не взимается государственная пошлина.</w:t>
      </w:r>
      <w:r>
        <w:rPr>
          <w:rFonts w:ascii="Liberation Serif" w:hAnsi="Liberation Serif" w:cs="Liberation Serif"/>
          <w:color w:val="auto"/>
          <w:sz w:val="27"/>
          <w:szCs w:val="27"/>
        </w:rPr>
      </w:r>
      <w:r>
        <w:rPr>
          <w:rFonts w:ascii="Liberation Serif" w:hAnsi="Liberation Serif" w:cs="Liberation Serif"/>
          <w:color w:val="auto"/>
          <w:sz w:val="27"/>
          <w:szCs w:val="27"/>
        </w:rPr>
      </w:r>
    </w:p>
    <w:p>
      <w:pPr>
        <w:pStyle w:val="832"/>
        <w:ind w:firstLine="708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color w:val="auto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auto"/>
          <w:sz w:val="27"/>
          <w:szCs w:val="27"/>
        </w:rPr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«Государственная регистрация права гарантирует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 охрану государством имущественных интересов собственника, в том числе таким популярным в настоящее время способом защиты от мошеннических действий, как подача заявления о невозможности государственной регистрации права без личного участия правообладателя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», – отметила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</w:rPr>
        <w:t xml:space="preserve">Ксения </w:t>
      </w:r>
      <w:r>
        <w:rPr>
          <w:rFonts w:ascii="Liberation Serif" w:hAnsi="Liberation Serif" w:eastAsia="Liberation Serif" w:cs="Liberation Serif"/>
          <w:b/>
          <w:bCs/>
          <w:color w:val="auto"/>
          <w:sz w:val="27"/>
          <w:szCs w:val="27"/>
        </w:rPr>
        <w:t xml:space="preserve">Ермилова,</w:t>
      </w:r>
      <w:r>
        <w:rPr>
          <w:rFonts w:ascii="Liberation Serif" w:hAnsi="Liberation Serif" w:eastAsia="Liberation Serif" w:cs="Liberation Serif"/>
          <w:color w:val="auto"/>
          <w:sz w:val="27"/>
          <w:szCs w:val="27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auto"/>
          <w:sz w:val="27"/>
          <w:szCs w:val="27"/>
        </w:rPr>
        <w:t xml:space="preserve">н</w:t>
      </w:r>
      <w:r>
        <w:rPr>
          <w:rFonts w:ascii="Liberation Serif" w:hAnsi="Liberation Serif" w:eastAsia="Liberation Serif" w:cs="Liberation Serif"/>
          <w:b w:val="0"/>
          <w:bCs w:val="0"/>
          <w:color w:val="auto"/>
          <w:sz w:val="27"/>
          <w:szCs w:val="27"/>
        </w:rPr>
        <w:t xml:space="preserve">ачальник отдела земельно-имущественных отношений и градостроительства администрации Верхнеландеховского муниципального округа</w:t>
      </w:r>
      <w:r>
        <w:rPr>
          <w:rFonts w:ascii="Liberation Serif" w:hAnsi="Liberation Serif" w:eastAsia="Liberation Serif" w:cs="Liberation Serif"/>
          <w:b w:val="0"/>
          <w:bCs w:val="0"/>
          <w:color w:val="auto"/>
          <w:sz w:val="27"/>
          <w:szCs w:val="27"/>
        </w:rPr>
        <w:t xml:space="preserve">.</w:t>
      </w:r>
      <w:r>
        <w:rPr>
          <w:rFonts w:ascii="Liberation Serif" w:hAnsi="Liberation Serif" w:cs="Liberation Serif"/>
          <w:b w:val="0"/>
          <w:bCs w:val="0"/>
          <w:color w:val="auto"/>
          <w:sz w:val="27"/>
          <w:szCs w:val="27"/>
        </w:rPr>
      </w:r>
      <w:r>
        <w:rPr>
          <w:rFonts w:ascii="Liberation Serif" w:hAnsi="Liberation Serif" w:cs="Liberation Serif"/>
          <w:b w:val="0"/>
          <w:bCs w:val="0"/>
          <w:color w:val="auto"/>
          <w:sz w:val="27"/>
          <w:szCs w:val="27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ind w:firstLine="708"/>
        <w:jc w:val="both"/>
        <w:spacing w:before="0" w:after="0" w:line="240" w:lineRule="auto"/>
        <w:rPr>
          <w:rFonts w:ascii="Liberation Serif" w:hAnsi="Liberation Serif" w:cs="Liberation Serif"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auto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ascii="PT Astra Serif" w:hAnsi="PT Astra Serif"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ascii="PT Astra Serif" w:hAnsi="PT Astra Serif"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Вячеславовна</dc:creator>
  <dc:description/>
  <dc:language>ru-RU</dc:language>
  <cp:lastModifiedBy>dunskaya-ee</cp:lastModifiedBy>
  <cp:revision>10</cp:revision>
  <dcterms:created xsi:type="dcterms:W3CDTF">2023-11-13T05:58:00Z</dcterms:created>
  <dcterms:modified xsi:type="dcterms:W3CDTF">2026-05-14T08:47:42Z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